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Výchova k občanství – náhradní práce na 29. 5.</w:t>
      </w:r>
    </w:p>
    <w:p>
      <w:pPr>
        <w:pStyle w:val="Normal"/>
        <w:jc w:val="center"/>
        <w:rPr/>
      </w:pPr>
      <w:r>
        <w:rPr>
          <w:b/>
          <w:bCs/>
          <w:highlight w:val="yellow"/>
        </w:rPr>
        <w:t xml:space="preserve">Trestní odpovědnost, vězeňství </w:t>
      </w:r>
      <w:r>
        <w:rPr>
          <w:b/>
          <w:bCs/>
          <w:highlight w:val="yellow"/>
        </w:rPr>
        <w:t>aneb NEZNALOST ZÁKONA NEOMLOUVÁ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4642485</wp:posOffset>
            </wp:positionH>
            <wp:positionV relativeFrom="paragraph">
              <wp:posOffset>197485</wp:posOffset>
            </wp:positionV>
            <wp:extent cx="1850390" cy="28251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9540" t="3427" r="10731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82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i/>
          <w:iCs/>
          <w:sz w:val="22"/>
          <w:szCs w:val="22"/>
        </w:rPr>
        <w:t>Z</w:t>
      </w:r>
      <w:r>
        <w:rPr>
          <w:b w:val="false"/>
          <w:bCs w:val="false"/>
          <w:i/>
          <w:iCs/>
          <w:sz w:val="22"/>
          <w:szCs w:val="22"/>
        </w:rPr>
        <w:t>ápis si přečtěte. Jediné, co si k tomu napište je spojovačka a vytučněná slova a pracovní list, pokud si ho nemůžete vytisknout. To mi pak vyfoťte a pošlete. Děkuji.</w:t>
      </w:r>
    </w:p>
    <w:p>
      <w:pPr>
        <w:pStyle w:val="Normal"/>
        <w:jc w:val="center"/>
        <w:rPr>
          <w:b/>
          <w:b/>
          <w:bCs/>
        </w:rPr>
      </w:pPr>
      <w:r>
        <w:rPr>
          <w:highlight w:val="yellow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každá </w:t>
      </w:r>
      <w:r>
        <w:rPr>
          <w:b w:val="false"/>
          <w:bCs w:val="false"/>
          <w:u w:val="single"/>
        </w:rPr>
        <w:t>společnost se řídí</w:t>
      </w:r>
      <w:r>
        <w:rPr>
          <w:b w:val="false"/>
          <w:bCs w:val="false"/>
        </w:rPr>
        <w:t xml:space="preserve"> nějakými </w:t>
      </w:r>
      <w:r>
        <w:rPr>
          <w:b w:val="false"/>
          <w:bCs w:val="false"/>
          <w:u w:val="single"/>
        </w:rPr>
        <w:t>pravidly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zkus k sobě přiřadit, jakými pravidly se řídí jaká společnost: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TŘÍDA</w:t>
        <w:tab/>
        <w:tab/>
        <w:tab/>
        <w:tab/>
        <w:tab/>
        <w:t>ÚSTAVA ČR, ZÁKONY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ŠKOLA</w:t>
        <w:tab/>
        <w:tab/>
        <w:tab/>
        <w:tab/>
        <w:tab/>
        <w:t>HRÁČSKÝ KODEX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KLUB HRÁČŮ MINECRAFT</w:t>
        <w:tab/>
        <w:tab/>
        <w:t>RYBÁŘSKÝ ŘÁD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ČESKÁ REPUBLIKA</w:t>
        <w:tab/>
        <w:tab/>
        <w:tab/>
        <w:t>TŘÍDNÍ PRAVIDLA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ČESKÝ RYBÁŘSKÝ SVAZ</w:t>
        <w:tab/>
        <w:tab/>
        <w:tab/>
        <w:t>ŠKOLNÍ ŘÁD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- když nebudeš ve třídě dodržovat Školní řád, dostaneš poznámku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když se nebudeš v klubu chovat podle jejich zásad, vyloučí tě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>k</w:t>
      </w:r>
      <w:r>
        <w:rPr>
          <w:b w:val="false"/>
          <w:bCs w:val="false"/>
          <w:u w:val="none"/>
        </w:rPr>
        <w:t xml:space="preserve">dyž se ve společnosti budeš chovat protizákonně, budeš </w:t>
      </w:r>
      <w:r>
        <w:rPr>
          <w:b w:val="false"/>
          <w:bCs w:val="false"/>
          <w:u w:val="none"/>
        </w:rPr>
        <w:t>po</w:t>
      </w:r>
      <w:r>
        <w:rPr>
          <w:b w:val="false"/>
          <w:bCs w:val="false"/>
          <w:u w:val="none"/>
        </w:rPr>
        <w:t>trestán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Co můžeme spáchat: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>PŘESTUPEK</w:t>
      </w:r>
      <w:r>
        <w:rPr>
          <w:b w:val="false"/>
          <w:bCs w:val="false"/>
          <w:u w:val="none"/>
        </w:rPr>
        <w:t xml:space="preserve"> – méně závažné protiprávní jednání, typický příklad je dopravní přestupek, proti veřejnému pořádku nebo občanskému soužití (překročení rychlosti, rušení nočního klidu a další). </w:t>
      </w:r>
      <w:r>
        <w:rPr>
          <w:b w:val="false"/>
          <w:bCs w:val="false"/>
          <w:u w:val="none"/>
        </w:rPr>
        <w:t>Projednávají obecní úřady.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/>
          <w:bCs/>
          <w:u w:val="none"/>
        </w:rPr>
        <w:t>TRESTNÝ ČIN</w:t>
      </w:r>
      <w:r>
        <w:rPr>
          <w:b w:val="false"/>
          <w:bCs w:val="false"/>
          <w:u w:val="none"/>
        </w:rPr>
        <w:t xml:space="preserve"> –</w:t>
      </w:r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 xml:space="preserve">1. PŘEČIN </w:t>
      </w:r>
      <w:r>
        <w:rPr>
          <w:b w:val="false"/>
          <w:bCs w:val="false"/>
          <w:u w:val="none"/>
        </w:rPr>
        <w:t xml:space="preserve">- </w:t>
      </w:r>
      <w:r>
        <w:rPr>
          <w:b w:val="false"/>
          <w:bCs w:val="false"/>
          <w:u w:val="none"/>
        </w:rPr>
        <w:t xml:space="preserve">protiprávní jednání </w:t>
      </w:r>
      <w:r>
        <w:rPr>
          <w:b w:val="false"/>
          <w:bCs w:val="false"/>
          <w:u w:val="none"/>
        </w:rPr>
        <w:t xml:space="preserve">závažnější než přestupek, ale méně závažné než zločin – spáchaný buď z nedbalosti nebo úmyslně (na to se také bere zřetel při rozhodování o trestu). Projednávají soudy. </w:t>
      </w:r>
    </w:p>
    <w:p>
      <w:pPr>
        <w:pStyle w:val="Normal"/>
        <w:jc w:val="left"/>
        <w:rPr/>
      </w:pPr>
      <w:r>
        <w:rPr>
          <w:b/>
          <w:bCs/>
          <w:u w:val="none"/>
        </w:rPr>
        <w:t>2. ZLOČIN</w:t>
      </w:r>
      <w:r>
        <w:rPr>
          <w:b w:val="false"/>
          <w:bCs w:val="false"/>
          <w:u w:val="none"/>
        </w:rPr>
        <w:t xml:space="preserve"> -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 xml:space="preserve">je označení pro zásadním způsobem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</w:rPr>
        <w:t xml:space="preserve">zlý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čin,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 xml:space="preserve"> který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</w:rPr>
        <w:t xml:space="preserve">pachatele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</w:rPr>
        <w:t>(ten, kdo spáchal trestný čin)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4"/>
          <w:szCs w:val="24"/>
          <w:highlight w:val="white"/>
          <w:u w:val="none"/>
          <w:effect w:val="none"/>
        </w:rPr>
        <w:t xml:space="preserve">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 xml:space="preserve">v případě odhalení zpravidla vyděluje ze společnosti a staví do pozice </w:t>
      </w:r>
      <w:r>
        <w:rPr>
          <w:rFonts w:ascii="Liberation Serif" w:hAnsi="Liberation Serif"/>
          <w:b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>zločince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 xml:space="preserve">, jenž má být potrestán. 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202122"/>
          <w:spacing w:val="0"/>
          <w:sz w:val="24"/>
          <w:szCs w:val="24"/>
        </w:rPr>
        <w:t>Projednávají se u soudu.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highlight w:val="yellow"/>
          <w:u w:val="none"/>
        </w:rPr>
        <w:t>PRESUMPCE NEVINY</w:t>
      </w:r>
      <w:r>
        <w:rPr>
          <w:b w:val="false"/>
          <w:bCs w:val="false"/>
          <w:u w:val="none"/>
        </w:rPr>
        <w:t xml:space="preserve"> – dokud mi není prokázána vina, tak musím být považovaný za nevinného.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Jak to tedy je </w:t>
      </w:r>
      <w:r>
        <w:rPr>
          <w:b w:val="false"/>
          <w:bCs w:val="false"/>
          <w:u w:val="none"/>
        </w:rPr>
        <w:t>s tresty</w:t>
      </w:r>
    </w:p>
    <w:tbl>
      <w:tblPr>
        <w:tblW w:w="969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359"/>
        <w:gridCol w:w="1596"/>
        <w:gridCol w:w="2222"/>
        <w:gridCol w:w="3518"/>
      </w:tblGrid>
      <w:tr>
        <w:trPr/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5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Trestný čin</w:t>
            </w:r>
          </w:p>
        </w:tc>
      </w:tr>
      <w:tr>
        <w:trPr/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věk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přestupek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přečin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zločin</w:t>
            </w:r>
          </w:p>
        </w:tc>
      </w:tr>
      <w:tr>
        <w:trPr/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Do 15 let</w:t>
            </w:r>
          </w:p>
          <w:p>
            <w:pPr>
              <w:pStyle w:val="Obsahtabulky"/>
              <w:jc w:val="center"/>
              <w:rPr/>
            </w:pPr>
            <w:r>
              <w:rPr/>
              <w:t>osoba není trestně odpovědná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Přestupkové řízení, dohled kurátora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Dohled kurátora</w:t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suppressLineNumbers/>
              <w:ind w:left="0" w:right="454" w:hanging="0"/>
              <w:jc w:val="center"/>
              <w:rPr/>
            </w:pPr>
            <w:r>
              <w:rPr/>
              <w:t xml:space="preserve">Mimořádně umístění v ústavu, </w:t>
            </w:r>
            <w:r>
              <w:rPr/>
              <w:t>návrh na ochrannou výchovu</w:t>
            </w:r>
          </w:p>
        </w:tc>
      </w:tr>
      <w:tr>
        <w:trPr/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15 -18 let</w:t>
            </w:r>
          </w:p>
          <w:p>
            <w:pPr>
              <w:pStyle w:val="Obsahtabulky"/>
              <w:jc w:val="center"/>
              <w:rPr/>
            </w:pPr>
            <w:r>
              <w:rPr/>
              <w:t>mladistvý</w:t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Přestupkové řízení, dohled kurátora</w:t>
            </w:r>
          </w:p>
        </w:tc>
        <w:tc>
          <w:tcPr>
            <w:tcW w:w="57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Postupuje se podle trestních sazeb určených zákonem za jednotlivé trestné činy, ale trestní sazby se snižuji na polovinu. Maximálně 5 let. (</w:t>
            </w:r>
            <w:r>
              <w:rPr/>
              <w:t xml:space="preserve">podmíněně – zkušební doba 1 – 3 roky nebo nepodmíněně - </w:t>
            </w:r>
            <w:r>
              <w:rPr/>
              <w:t xml:space="preserve">do vězení </w:t>
            </w:r>
            <w:r>
              <w:rPr/>
              <w:t>nebo do jiného zařízení s ostrahou</w:t>
            </w:r>
            <w:r>
              <w:rPr/>
              <w:t>)</w:t>
            </w:r>
          </w:p>
        </w:tc>
      </w:tr>
      <w:tr>
        <w:trPr/>
        <w:tc>
          <w:tcPr>
            <w:tcW w:w="23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18 let a starší</w:t>
            </w:r>
          </w:p>
          <w:p>
            <w:pPr>
              <w:pStyle w:val="Obsahtabulky"/>
              <w:jc w:val="center"/>
              <w:rPr/>
            </w:pPr>
            <w:r>
              <w:rPr/>
              <w:t>zletilý</w:t>
            </w:r>
          </w:p>
          <w:p>
            <w:pPr>
              <w:pStyle w:val="Obsahtabulky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59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Přestupková komise, pokuta, napomenutí, propadnutí věci</w:t>
            </w:r>
          </w:p>
        </w:tc>
        <w:tc>
          <w:tcPr>
            <w:tcW w:w="22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</w:r>
          </w:p>
          <w:p>
            <w:pPr>
              <w:pStyle w:val="Obsahtabulky"/>
              <w:jc w:val="center"/>
              <w:rPr/>
            </w:pPr>
            <w:r>
              <w:rPr/>
              <w:t>Trest může být v případě mírných činů udělen podmíněně (nemusí do vězení,</w:t>
            </w:r>
            <w:r>
              <w:rPr/>
              <w:t>ale musí dodržovat určité podmínky</w:t>
            </w:r>
            <w:r>
              <w:rPr/>
              <w:t>)</w:t>
            </w:r>
          </w:p>
          <w:p>
            <w:pPr>
              <w:pStyle w:val="Obsahtabulky"/>
              <w:jc w:val="center"/>
              <w:rPr/>
            </w:pPr>
            <w:r>
              <w:rPr/>
            </w:r>
          </w:p>
        </w:tc>
        <w:tc>
          <w:tcPr>
            <w:tcW w:w="3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lky"/>
              <w:jc w:val="center"/>
              <w:rPr/>
            </w:pPr>
            <w:r>
              <w:rPr/>
              <w:t>Postupuje se podle trestních sazeb určených zákonem za jednotlivé trestné činy.</w:t>
            </w:r>
          </w:p>
          <w:p>
            <w:pPr>
              <w:pStyle w:val="Obsahtabulky"/>
              <w:jc w:val="center"/>
              <w:rPr/>
            </w:pPr>
            <w:r>
              <w:rPr/>
              <w:t>Nepodmíněně – do vězení.</w:t>
            </w:r>
          </w:p>
          <w:p>
            <w:pPr>
              <w:pStyle w:val="Obsahtabulky"/>
              <w:jc w:val="center"/>
              <w:rPr/>
            </w:pPr>
            <w:r>
              <w:rPr/>
            </w:r>
          </w:p>
          <w:p>
            <w:pPr>
              <w:pStyle w:val="Obsahtabulky"/>
              <w:jc w:val="center"/>
              <w:rPr/>
            </w:pPr>
            <w:r>
              <w:rPr/>
              <w:t>Za výjimečný trest je považováno odnětí svobody na doživotí.</w:t>
            </w:r>
          </w:p>
          <w:p>
            <w:pPr>
              <w:pStyle w:val="Obsahtabulky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Jaká práva mají děti, které </w:t>
      </w:r>
      <w:r>
        <w:rPr>
          <w:b w:val="false"/>
          <w:bCs w:val="false"/>
          <w:u w:val="none"/>
        </w:rPr>
        <w:t>jsou podezřelé ze spáchání trestného činu</w:t>
      </w:r>
      <w:r>
        <w:rPr>
          <w:b w:val="false"/>
          <w:bCs w:val="false"/>
          <w:u w:val="none"/>
        </w:rPr>
        <w:t xml:space="preserve"> a co jim hrozí si můžete přečíst </w:t>
      </w:r>
      <w:hyperlink r:id="rId3">
        <w:r>
          <w:rPr>
            <w:rStyle w:val="Navtveninternetovodkaz"/>
            <w:b w:val="false"/>
            <w:bCs w:val="false"/>
            <w:u w:val="none"/>
          </w:rPr>
          <w:t>ZDE</w:t>
        </w:r>
      </w:hyperlink>
    </w:p>
    <w:p>
      <w:pPr>
        <w:pStyle w:val="Normal"/>
        <w:jc w:val="left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u w:val="none"/>
        </w:rPr>
        <w:t xml:space="preserve">Pracovní list </w:t>
      </w:r>
    </w:p>
    <w:p>
      <w:pPr>
        <w:pStyle w:val="Normal"/>
        <w:jc w:val="left"/>
        <w:rPr>
          <w:b w:val="false"/>
          <w:b w:val="false"/>
          <w:bCs w:val="false"/>
          <w:color w:val="CE181E"/>
          <w:u w:val="none"/>
        </w:rPr>
      </w:pPr>
      <w:r>
        <w:rPr>
          <w:b/>
          <w:bCs/>
          <w:color w:val="CE181E"/>
          <w:u w:val="none"/>
        </w:rPr>
        <w:t>červeně</w:t>
      </w:r>
      <w:r>
        <w:rPr>
          <w:b w:val="false"/>
          <w:bCs w:val="false"/>
          <w:color w:val="CE181E"/>
          <w:u w:val="none"/>
        </w:rPr>
        <w:t xml:space="preserve"> </w:t>
      </w:r>
      <w:r>
        <w:rPr>
          <w:b w:val="false"/>
          <w:bCs w:val="false"/>
          <w:color w:val="000000"/>
          <w:u w:val="none"/>
        </w:rPr>
        <w:t xml:space="preserve">označ všechno, co podle tebe jsou </w:t>
      </w:r>
      <w:r>
        <w:rPr>
          <w:b/>
          <w:bCs/>
          <w:color w:val="F10D0C"/>
          <w:u w:val="none"/>
        </w:rPr>
        <w:t>trestné činy</w:t>
      </w:r>
    </w:p>
    <w:p>
      <w:pPr>
        <w:pStyle w:val="Normal"/>
        <w:jc w:val="left"/>
        <w:rPr>
          <w:b/>
          <w:b/>
          <w:bCs/>
          <w:color w:val="5983B0"/>
          <w:u w:val="none"/>
        </w:rPr>
      </w:pPr>
      <w:r>
        <w:rPr>
          <w:b/>
          <w:bCs/>
          <w:color w:val="2A6099"/>
          <w:u w:val="none"/>
        </w:rPr>
        <w:t>modře</w:t>
      </w:r>
      <w:r>
        <w:rPr>
          <w:b/>
          <w:bCs/>
          <w:color w:val="5983B0"/>
          <w:u w:val="none"/>
        </w:rPr>
        <w:t xml:space="preserve"> </w:t>
      </w:r>
      <w:r>
        <w:rPr>
          <w:b w:val="false"/>
          <w:bCs w:val="false"/>
          <w:color w:val="000000"/>
          <w:u w:val="none"/>
        </w:rPr>
        <w:t xml:space="preserve">označ </w:t>
      </w:r>
      <w:r>
        <w:rPr>
          <w:b/>
          <w:bCs/>
          <w:color w:val="2A6099"/>
          <w:u w:val="none"/>
        </w:rPr>
        <w:t>přestupky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-113665</wp:posOffset>
            </wp:positionH>
            <wp:positionV relativeFrom="paragraph">
              <wp:posOffset>61595</wp:posOffset>
            </wp:positionV>
            <wp:extent cx="6248400" cy="4885055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193" t="29682" r="28281" b="6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88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u w:val="none"/>
        </w:rPr>
        <w:t>vysvětlivky: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 xml:space="preserve">zpronevěra </w:t>
      </w:r>
      <w:r>
        <w:rPr>
          <w:b w:val="false"/>
          <w:bCs w:val="false"/>
          <w:sz w:val="22"/>
          <w:szCs w:val="22"/>
          <w:u w:val="none"/>
        </w:rPr>
        <w:t>– vezmu si peníze třeba svého zaměstnavatele (udělám to tak, aby to nebylo hned poznat) a použiju je pro sebe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porušování autorských práv</w:t>
      </w:r>
      <w:r>
        <w:rPr>
          <w:b w:val="false"/>
          <w:bCs w:val="false"/>
          <w:sz w:val="22"/>
          <w:szCs w:val="22"/>
          <w:u w:val="none"/>
        </w:rPr>
        <w:t xml:space="preserve"> – přisvojím si výsledek práce někoho jiného – třeba obraz, nebo písničku nebo část něčí práce zkopíruji do své práce a neuvedu tam autora. Abych se vyhnula možnému stíhání, vždycky musím uvést autora a, kde jsem to vzala (koukni dole na Zdroje). Nebo si to musím </w:t>
      </w:r>
      <w:r>
        <w:rPr>
          <w:b w:val="false"/>
          <w:bCs w:val="false"/>
          <w:sz w:val="22"/>
          <w:szCs w:val="22"/>
          <w:u w:val="none"/>
        </w:rPr>
        <w:t xml:space="preserve">vytvořit </w:t>
      </w:r>
      <w:r>
        <w:rPr>
          <w:b w:val="false"/>
          <w:bCs w:val="false"/>
          <w:sz w:val="22"/>
          <w:szCs w:val="22"/>
          <w:u w:val="none"/>
        </w:rPr>
        <w:t xml:space="preserve">sama (nakreslit si obrázek, vyfotit, napsat, udělat pracovní </w:t>
      </w:r>
      <w:r>
        <w:rPr>
          <w:b w:val="false"/>
          <w:bCs w:val="false"/>
          <w:sz w:val="22"/>
          <w:szCs w:val="22"/>
          <w:u w:val="none"/>
        </w:rPr>
        <w:t>list</w:t>
      </w:r>
      <w:r>
        <w:rPr>
          <w:b w:val="false"/>
          <w:bCs w:val="false"/>
          <w:sz w:val="22"/>
          <w:szCs w:val="22"/>
          <w:u w:val="none"/>
        </w:rPr>
        <w:t xml:space="preserve">). Ne všechno, co najdeme na internetu je zdarma a můžu si to vzít. Rohlík v obchodě bychom nikdo neukradli, ale obrázek si klidně zkopírujeme. 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Vydírání</w:t>
      </w:r>
      <w:r>
        <w:rPr>
          <w:b w:val="false"/>
          <w:bCs w:val="false"/>
          <w:sz w:val="22"/>
          <w:szCs w:val="22"/>
          <w:u w:val="none"/>
        </w:rPr>
        <w:t xml:space="preserve"> – chci po někom peníze nebo nějakou službu. Třeba - „Jestli mi nezaplatíš, ukážu ty fotky tvojí mamince.“ a podobně – pozor v dnešní době, komu co posíláš. Může to použít proti tobě!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Zajímavá aktualita z dneška: </w:t>
      </w:r>
      <w:r>
        <w:rPr>
          <w:b w:val="false"/>
          <w:bCs w:val="false"/>
          <w:highlight w:val="yellow"/>
          <w:u w:val="none"/>
        </w:rPr>
        <w:t xml:space="preserve">Za krádež sladkostí dostal u soudu 26 měsíců = 3 roky </w:t>
      </w:r>
      <w:hyperlink r:id="rId5">
        <w:r>
          <w:rPr>
            <w:rStyle w:val="Internetovodkaz"/>
            <w:b w:val="false"/>
            <w:bCs w:val="false"/>
            <w:highlight w:val="yellow"/>
            <w:u w:val="none"/>
          </w:rPr>
          <w:t>ZDE</w:t>
        </w:r>
      </w:hyperlink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Doufám, že tohle nikdo z nás nikdy potřebovat nebudeme.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Mějte se moc hezky!    M. Kárníková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/>
      </w:pPr>
      <w:r>
        <w:rPr>
          <w:b/>
          <w:bCs/>
          <w:sz w:val="22"/>
          <w:szCs w:val="22"/>
          <w:u w:val="none"/>
        </w:rPr>
        <w:t xml:space="preserve">Zdroje: </w:t>
      </w:r>
      <w:hyperlink r:id="rId6">
        <w:r>
          <w:rPr>
            <w:rStyle w:val="Internetovodkaz"/>
            <w:sz w:val="22"/>
            <w:szCs w:val="22"/>
          </w:rPr>
          <w:t>https://pixabay.com/cs/photos/policie-lego-policista-z%C3%A1kon-1058422/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jc w:val="left"/>
        <w:rPr/>
      </w:pPr>
      <w:hyperlink r:id="rId7">
        <w:r>
          <w:rPr>
            <w:rStyle w:val="Internetovodkaz"/>
            <w:sz w:val="22"/>
            <w:szCs w:val="22"/>
          </w:rPr>
          <w:t>https://cs.wikipedia.org/wiki/Zlo%C4%8Din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hyperlink r:id="rId8">
        <w:r>
          <w:rPr>
            <w:rStyle w:val="Internetovodkaz"/>
            <w:b w:val="false"/>
            <w:bCs w:val="false"/>
            <w:sz w:val="22"/>
            <w:szCs w:val="22"/>
            <w:u w:val="none"/>
          </w:rPr>
          <w:t>https://www.usti-nad-labem.cz/files/osv_informace-pro-deti-podezrele-z-tc.pdf</w:t>
        </w:r>
      </w:hyperlink>
      <w:r>
        <w:rPr>
          <w:b w:val="false"/>
          <w:bCs w:val="false"/>
          <w:sz w:val="22"/>
          <w:szCs w:val="22"/>
          <w:u w:val="non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hyperlink r:id="rId9">
        <w:r>
          <w:rPr>
            <w:rStyle w:val="Internetovodkaz"/>
            <w:b w:val="false"/>
            <w:bCs w:val="false"/>
            <w:sz w:val="22"/>
            <w:szCs w:val="22"/>
            <w:u w:val="none"/>
          </w:rPr>
          <w:t>https://docplayer.cz/6344413-Prestupky-a-spravni-rizeni-metodicky-list.html</w:t>
        </w:r>
      </w:hyperlink>
      <w:r>
        <w:rPr>
          <w:b w:val="false"/>
          <w:bCs w:val="false"/>
          <w:sz w:val="22"/>
          <w:szCs w:val="22"/>
          <w:u w:val="none"/>
        </w:rPr>
        <w:t xml:space="preserve">  - </w:t>
      </w:r>
      <w:r>
        <w:rPr>
          <w:b w:val="false"/>
          <w:bCs w:val="false"/>
          <w:sz w:val="22"/>
          <w:szCs w:val="22"/>
          <w:u w:val="none"/>
        </w:rPr>
        <w:t>Mgr. Pavlína Lechnýřová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hyperlink r:id="rId10">
        <w:r>
          <w:rPr>
            <w:rStyle w:val="Internetovodkaz"/>
            <w:b w:val="false"/>
            <w:bCs w:val="false"/>
            <w:sz w:val="22"/>
            <w:szCs w:val="22"/>
            <w:u w:val="none"/>
          </w:rPr>
          <w:t>https://www.novinky.cz/krimi/clanek/kradez-pamlsku-ve-stavu-nouze-26-mesicu-natvrdo-40325799</w:t>
        </w:r>
      </w:hyperlink>
      <w:r>
        <w:rPr>
          <w:b w:val="false"/>
          <w:bCs w:val="false"/>
          <w:u w:val="none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usti-nad-labem.cz/files/osv_informace-pro-deti-podezrele-z-tc.pdf" TargetMode="External"/><Relationship Id="rId4" Type="http://schemas.openxmlformats.org/officeDocument/2006/relationships/image" Target="media/image2.png"/><Relationship Id="rId5" Type="http://schemas.openxmlformats.org/officeDocument/2006/relationships/hyperlink" Target="https://www.novinky.cz/krimi/clanek/kradez-pamlsku-ve-stavu-nouze-26-mesicu-natvrdo-40325799" TargetMode="External"/><Relationship Id="rId6" Type="http://schemas.openxmlformats.org/officeDocument/2006/relationships/hyperlink" Target="https://pixabay.com/cs/photos/policie-lego-policista-z&#225;kon-1058422/" TargetMode="External"/><Relationship Id="rId7" Type="http://schemas.openxmlformats.org/officeDocument/2006/relationships/hyperlink" Target="https://cs.wikipedia.org/wiki/Zlo&#269;in" TargetMode="External"/><Relationship Id="rId8" Type="http://schemas.openxmlformats.org/officeDocument/2006/relationships/hyperlink" Target="https://www.usti-nad-labem.cz/files/osv_informace-pro-deti-podezrele-z-tc.pdf" TargetMode="External"/><Relationship Id="rId9" Type="http://schemas.openxmlformats.org/officeDocument/2006/relationships/hyperlink" Target="https://docplayer.cz/6344413-Prestupky-a-spravni-rizeni-metodicky-list.html" TargetMode="External"/><Relationship Id="rId10" Type="http://schemas.openxmlformats.org/officeDocument/2006/relationships/hyperlink" Target="https://www.novinky.cz/krimi/clanek/kradez-pamlsku-ve-stavu-nouze-26-mesicu-natvrdo-40325799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2</Pages>
  <Words>561</Words>
  <Characters>3380</Characters>
  <CharactersWithSpaces>3925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2020-05-29T10:11:14Z</dcterms:created>
  <dc:creator/>
  <dc:description/>
  <dc:language>cs-CZ</dc:language>
  <cp:lastModifiedBy/>
  <dcterms:modified xsi:type="dcterms:W3CDTF">2020-05-29T13:09:31Z</dcterms:modified>
  <cp:revision>3</cp:revision>
  <dc:subject/>
  <dc:title/>
</cp:coreProperties>
</file>